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620F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 POZWALAJĄCY NA WYKONYWANIE PRAWA GŁOSU PRZEZ PEŁNOMOCNIKA</w:t>
      </w:r>
    </w:p>
    <w:p w14:paraId="120C934C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(dla jednostek organizacyjnych)</w:t>
      </w:r>
    </w:p>
    <w:p w14:paraId="077B86C8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8EE54AA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A32C577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8CE398C" w14:textId="1F1CBDA9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 w:rsidR="002E4682">
        <w:rPr>
          <w:rFonts w:ascii="Nunito Sans Light" w:hAnsi="Nunito Sans Light" w:cs="Tahoma"/>
          <w:sz w:val="20"/>
          <w:szCs w:val="20"/>
        </w:rPr>
        <w:t xml:space="preserve">Złotnikach </w:t>
      </w:r>
      <w:r w:rsidRPr="003820F0">
        <w:rPr>
          <w:rFonts w:ascii="Nunito Sans Light" w:hAnsi="Nunito Sans Light" w:cs="Tahoma"/>
          <w:sz w:val="20"/>
          <w:szCs w:val="20"/>
        </w:rPr>
        <w:t xml:space="preserve">zwołanym na dzień 18 czerwca 2024 roku. </w:t>
      </w:r>
    </w:p>
    <w:p w14:paraId="4A82AF7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292288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0C294A51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714AA4B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5ED5C0CF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9529C91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 xml:space="preserve">II </w:t>
      </w:r>
      <w:r w:rsidRPr="003820F0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50"/>
      </w:tblGrid>
      <w:tr w:rsidR="006A7DD4" w:rsidRPr="003820F0" w14:paraId="7171D01A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014D3894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Firma/nazwa:</w:t>
            </w:r>
          </w:p>
        </w:tc>
        <w:tc>
          <w:tcPr>
            <w:tcW w:w="7350" w:type="dxa"/>
            <w:vAlign w:val="center"/>
          </w:tcPr>
          <w:p w14:paraId="0A80275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4FDBD947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3649743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Nr właściwego rejestru (np. KRS):</w:t>
            </w:r>
          </w:p>
        </w:tc>
        <w:tc>
          <w:tcPr>
            <w:tcW w:w="7350" w:type="dxa"/>
            <w:vAlign w:val="center"/>
          </w:tcPr>
          <w:p w14:paraId="3AFB2589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2E1E1AB2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402B50D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siedziby:</w:t>
            </w:r>
          </w:p>
        </w:tc>
        <w:tc>
          <w:tcPr>
            <w:tcW w:w="7350" w:type="dxa"/>
            <w:vAlign w:val="center"/>
          </w:tcPr>
          <w:p w14:paraId="58C8E5A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18AC273B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53F2E3E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Imiona i nazwiska osób, które udzieliły pełnomocnictwa:</w:t>
            </w:r>
          </w:p>
        </w:tc>
        <w:tc>
          <w:tcPr>
            <w:tcW w:w="7350" w:type="dxa"/>
            <w:vAlign w:val="center"/>
          </w:tcPr>
          <w:p w14:paraId="281DC21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1F69B65C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3585BC8B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III </w:t>
      </w:r>
      <w:r w:rsidRPr="003820F0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A7DD4" w:rsidRPr="003820F0" w14:paraId="7F379D22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669EE128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7830B25D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02E657D3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13940B3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17F7C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623E59B7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59C3E0D7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4A9571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7A520A25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0D04BC4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09B8319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A7DD4" w:rsidRPr="003820F0" w14:paraId="202EF6C1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385C2D6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4347450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4BD1737" w14:textId="77777777" w:rsidR="006A7DD4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Pr="003820F0">
        <w:rPr>
          <w:rFonts w:ascii="Nunito Sans Light" w:hAnsi="Nunito Sans Light" w:cs="Tahoma"/>
          <w:b/>
          <w:color w:val="141043"/>
        </w:rPr>
        <w:lastRenderedPageBreak/>
        <w:t>IV</w:t>
      </w:r>
      <w:r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77777777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Poniższe tabele umożliwiające zamieszczenie instrukcji dla pełnomocnika odwołują się do projektów uchwał znajdujących się w cz. V formularza. Mocodawca wydaje instrukcję poprzez wstawienie "X" w odpowiedniej rubryce. 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  <w:highlight w:val="yellow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77777777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2023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F496B34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2023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2023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2023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2F0BDDD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11 Porządku obrad - PODJĘCIE UCHWAŁY W SPRAWIE UDZIELENIA pANi AGACIE KOZIOŁ-JAWORSKIEJ   absolutorium z wykonania przez NIĄ obowiązków WICEprezesa Zarządu w roku 2023</w:t>
            </w:r>
          </w:p>
        </w:tc>
      </w:tr>
      <w:tr w:rsidR="006A7DD4" w:rsidRPr="003820F0" w14:paraId="23483548" w14:textId="77777777" w:rsidTr="006A7DD4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6A7DD4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6A7DD4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32591AFD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11 Porządku obrad - PODJĘCIE UCHWAŁY W SPRAWIE UDZIELENIA pANi jOLANCIE KOŁODZIEJCZYK absolutorium z wykonania przez NIĄ obowiązków WICEprezesa Zarządu w roku 2023</w:t>
            </w:r>
          </w:p>
        </w:tc>
      </w:tr>
      <w:tr w:rsidR="006A7DD4" w:rsidRPr="003820F0" w14:paraId="778EF0A4" w14:textId="77777777" w:rsidTr="006A7DD4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6A7DD4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6A7DD4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6A7DD4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77777777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2023</w:t>
            </w:r>
          </w:p>
        </w:tc>
      </w:tr>
      <w:tr w:rsidR="006A7DD4" w:rsidRPr="003820F0" w14:paraId="2FFC46E9" w14:textId="77777777" w:rsidTr="006A7DD4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6A7DD4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6A7DD4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41FB593F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TOMASZOWI BANASIEWICZOWI absolutorium   z wykonania przez niego obowiązków CZŁONKA Rady Nadzorczej w roku 2023</w:t>
            </w:r>
          </w:p>
        </w:tc>
      </w:tr>
      <w:tr w:rsidR="006A7DD4" w:rsidRPr="003820F0" w14:paraId="046DD5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6A7DD4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6A7DD4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MARIUSZOWI KOITCE (KOITKA) absolutorium   z wykonania przez niego obowiązków CZŁONKA Rady Nadzorczej w roku 2023</w:t>
            </w:r>
          </w:p>
        </w:tc>
      </w:tr>
      <w:tr w:rsidR="006A7DD4" w:rsidRPr="003820F0" w14:paraId="4A544C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6A7DD4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6A7DD4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04FA745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38C16B2" w14:textId="4BCD0B2E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ANDRZEJOWI WODECKIEMU absolutorium z wykonania przez niego obowiązków Członka Rady Nadzorczej w roku 2023</w:t>
            </w:r>
          </w:p>
        </w:tc>
      </w:tr>
      <w:tr w:rsidR="006A7DD4" w:rsidRPr="003820F0" w14:paraId="0A60A2EB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AD0DE9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69F8A04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22A623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F07CE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97D4C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00AD4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4C0C2E7F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93086DC" w14:textId="77777777" w:rsidTr="006A7DD4">
        <w:trPr>
          <w:trHeight w:val="37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DD63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50CBD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169F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2EE5B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DAA7752" w14:textId="77777777" w:rsidTr="006A7DD4">
        <w:tc>
          <w:tcPr>
            <w:tcW w:w="10632" w:type="dxa"/>
            <w:gridSpan w:val="12"/>
            <w:shd w:val="clear" w:color="auto" w:fill="auto"/>
          </w:tcPr>
          <w:p w14:paraId="7C29E105" w14:textId="5EBF65E3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6FB49E70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2023</w:t>
            </w:r>
          </w:p>
        </w:tc>
      </w:tr>
      <w:tr w:rsidR="006A7DD4" w:rsidRPr="003820F0" w14:paraId="09581702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6A7DD4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6A7DD4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448C8A8A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2023</w:t>
            </w:r>
          </w:p>
        </w:tc>
      </w:tr>
      <w:tr w:rsidR="006A7DD4" w:rsidRPr="003820F0" w14:paraId="2600EC79" w14:textId="77777777" w:rsidTr="006A7DD4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9262A9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9262A9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12"/>
        <w:gridCol w:w="142"/>
        <w:gridCol w:w="2354"/>
        <w:gridCol w:w="113"/>
        <w:gridCol w:w="199"/>
        <w:gridCol w:w="2297"/>
        <w:gridCol w:w="113"/>
        <w:gridCol w:w="198"/>
        <w:gridCol w:w="2499"/>
      </w:tblGrid>
      <w:tr w:rsidR="006A7DD4" w:rsidRPr="003820F0" w14:paraId="4C7AE453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71D67CB3" w14:textId="7BBAEC4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DARIUSZOWI ZOWCZAKOWI absolutorium z wykonania przez niĄ obowiązków Członka Rady Nadzorczej w roku 2023</w:t>
            </w:r>
          </w:p>
        </w:tc>
      </w:tr>
      <w:tr w:rsidR="006A7DD4" w:rsidRPr="003820F0" w14:paraId="37EAA7C8" w14:textId="77777777" w:rsidTr="009262A9">
        <w:trPr>
          <w:trHeight w:val="1252"/>
        </w:trPr>
        <w:tc>
          <w:tcPr>
            <w:tcW w:w="2859" w:type="dxa"/>
            <w:gridSpan w:val="3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9262A9">
        <w:trPr>
          <w:trHeight w:val="371"/>
        </w:trPr>
        <w:tc>
          <w:tcPr>
            <w:tcW w:w="28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9262A9">
        <w:tc>
          <w:tcPr>
            <w:tcW w:w="10632" w:type="dxa"/>
            <w:gridSpan w:val="10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246418" w14:textId="5A11E63F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13 PORZĄDKU OBRAD – podjęcie uchwały w sprawie ZATWIERDZENIA SPRAWOZDANIA RADY NADZORCZEJ ZA ROK OBROTOWY 2023 </w:t>
            </w:r>
          </w:p>
        </w:tc>
      </w:tr>
      <w:tr w:rsidR="006A7DD4" w:rsidRPr="003820F0" w14:paraId="096B1E63" w14:textId="77777777" w:rsidTr="009262A9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3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9262A9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9262A9">
        <w:tc>
          <w:tcPr>
            <w:tcW w:w="10632" w:type="dxa"/>
            <w:gridSpan w:val="10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239798A" w14:textId="77777777" w:rsidTr="009262A9">
        <w:trPr>
          <w:trHeight w:val="523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D00415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14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USTALENIA LICZBY CZŁONKÓW rADY NADZORCZEJ</w:t>
            </w:r>
          </w:p>
        </w:tc>
      </w:tr>
      <w:tr w:rsidR="006A7DD4" w:rsidRPr="003820F0" w14:paraId="5FB65884" w14:textId="77777777" w:rsidTr="009262A9">
        <w:trPr>
          <w:trHeight w:val="1111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61F869CA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1FF4F3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A8F9D5F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295008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6943268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0299B7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673E6505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1ACCD1E" w14:textId="77777777" w:rsidTr="009262A9">
        <w:trPr>
          <w:trHeight w:val="544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B8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23CD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84FA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040E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CD42F93" w14:textId="77777777" w:rsidTr="009262A9">
        <w:tc>
          <w:tcPr>
            <w:tcW w:w="10632" w:type="dxa"/>
            <w:gridSpan w:val="10"/>
            <w:shd w:val="clear" w:color="auto" w:fill="auto"/>
          </w:tcPr>
          <w:p w14:paraId="79E838B3" w14:textId="7B6F10CF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4050EABA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533200AE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15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powołania CZŁONKa rADY NADZORCZEJ na nową kadencję</w:t>
            </w:r>
          </w:p>
        </w:tc>
      </w:tr>
      <w:tr w:rsidR="006A7DD4" w:rsidRPr="003820F0" w14:paraId="430483AE" w14:textId="77777777" w:rsidTr="009262A9">
        <w:trPr>
          <w:trHeight w:val="1046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7B49C16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8D72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86D4EB7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5DAFB8" w14:textId="24E90FF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2B1A2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2B966098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14A789E" w14:textId="77777777" w:rsidTr="009262A9">
        <w:trPr>
          <w:trHeight w:val="695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C89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0776ED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36FF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04C26F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E79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307820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3592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B4FD92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4AF8894" w14:textId="77777777" w:rsidTr="009262A9">
        <w:tc>
          <w:tcPr>
            <w:tcW w:w="10632" w:type="dxa"/>
            <w:gridSpan w:val="10"/>
            <w:shd w:val="clear" w:color="auto" w:fill="auto"/>
          </w:tcPr>
          <w:p w14:paraId="19CE9179" w14:textId="1C16F869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3BE22498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113"/>
        <w:gridCol w:w="2496"/>
        <w:gridCol w:w="113"/>
        <w:gridCol w:w="2496"/>
        <w:gridCol w:w="113"/>
        <w:gridCol w:w="2584"/>
        <w:gridCol w:w="28"/>
      </w:tblGrid>
      <w:tr w:rsidR="006A7DD4" w:rsidRPr="003820F0" w14:paraId="054CD411" w14:textId="77777777" w:rsidTr="009262A9">
        <w:trPr>
          <w:gridAfter w:val="1"/>
          <w:wAfter w:w="28" w:type="dxa"/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D176363" w14:textId="3844A106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  <w:lastRenderedPageBreak/>
              <w:t>PUNKT 15 PORZĄDKU OBRAD – podjęcie uchwały w sprawie powołania CZŁONKa rADY NADZORCZEJ na nową kadencję</w:t>
            </w:r>
          </w:p>
        </w:tc>
      </w:tr>
      <w:tr w:rsidR="006A7DD4" w:rsidRPr="003820F0" w14:paraId="3A1B34D9" w14:textId="77777777" w:rsidTr="009262A9">
        <w:trPr>
          <w:gridAfter w:val="1"/>
          <w:wAfter w:w="28" w:type="dxa"/>
          <w:trHeight w:val="1094"/>
        </w:trPr>
        <w:tc>
          <w:tcPr>
            <w:tcW w:w="2717" w:type="dxa"/>
            <w:tcBorders>
              <w:bottom w:val="nil"/>
            </w:tcBorders>
            <w:shd w:val="clear" w:color="auto" w:fill="auto"/>
          </w:tcPr>
          <w:p w14:paraId="6F7030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E00507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D1B122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249305A" w14:textId="3F2353C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CD0F2F7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7705F1D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D07593C" w14:textId="77777777" w:rsidTr="009262A9">
        <w:trPr>
          <w:gridAfter w:val="1"/>
          <w:wAfter w:w="28" w:type="dxa"/>
          <w:trHeight w:val="695"/>
        </w:trPr>
        <w:tc>
          <w:tcPr>
            <w:tcW w:w="27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732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4F42D9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85311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EB97DF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296E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303961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A12A7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0E6458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3EF7A8C3" w14:textId="77777777" w:rsidTr="009262A9">
        <w:trPr>
          <w:gridAfter w:val="1"/>
          <w:wAfter w:w="28" w:type="dxa"/>
        </w:trPr>
        <w:tc>
          <w:tcPr>
            <w:tcW w:w="10632" w:type="dxa"/>
            <w:gridSpan w:val="7"/>
            <w:shd w:val="clear" w:color="auto" w:fill="auto"/>
          </w:tcPr>
          <w:p w14:paraId="3382E0D2" w14:textId="14A158B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580F1173" w14:textId="77777777" w:rsidTr="009262A9">
        <w:trPr>
          <w:gridAfter w:val="1"/>
          <w:wAfter w:w="28" w:type="dxa"/>
          <w:trHeight w:val="59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3E121DD4" w14:textId="7777777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15 PORZĄDKU OBRAD – podjęcie uchwały w sprawie powołania CZŁONKa rADY NADZORCZEJ na nową kadencję </w:t>
            </w:r>
          </w:p>
        </w:tc>
      </w:tr>
      <w:tr w:rsidR="006A7DD4" w:rsidRPr="003820F0" w14:paraId="04D6379C" w14:textId="77777777" w:rsidTr="009262A9">
        <w:trPr>
          <w:trHeight w:val="928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551D54E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614ED98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FB6E4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71289BA" w14:textId="1FC7E8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0D3A6E7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15AC0F5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2647AE5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0007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BBE8F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06D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D87CF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4126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B2A99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124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D842AA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B8DD464" w14:textId="77777777" w:rsidTr="009262A9">
        <w:tc>
          <w:tcPr>
            <w:tcW w:w="10660" w:type="dxa"/>
            <w:gridSpan w:val="8"/>
            <w:shd w:val="clear" w:color="auto" w:fill="auto"/>
          </w:tcPr>
          <w:p w14:paraId="6C69A28C" w14:textId="052CC81A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974E706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4F9AD2A" w14:textId="22054A9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34F0306B" w14:textId="77777777" w:rsidTr="009262A9">
        <w:trPr>
          <w:trHeight w:val="101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34CF7E9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381D2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EC43B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C3B0EF7" w14:textId="177F58E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0B9F91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4996B02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1E1995C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E3C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EE2283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D025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EDCE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2C7C8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0B22A4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B9F9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F6ECA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A5A0D56" w14:textId="77777777" w:rsidTr="009262A9">
        <w:trPr>
          <w:trHeight w:val="416"/>
        </w:trPr>
        <w:tc>
          <w:tcPr>
            <w:tcW w:w="10660" w:type="dxa"/>
            <w:gridSpan w:val="8"/>
            <w:shd w:val="clear" w:color="auto" w:fill="auto"/>
          </w:tcPr>
          <w:p w14:paraId="6E7BB19F" w14:textId="40AC847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1722D32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02A4A54" w14:textId="3561A48A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4F131BEE" w14:textId="77777777" w:rsidTr="009262A9">
        <w:trPr>
          <w:trHeight w:val="97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643C7EE0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FDC3B8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EE58AC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76565A8" w14:textId="1A5053D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F9B68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61DBFA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926B330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3674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83F001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43E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C00AA3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8FEB2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C3D474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E36DC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0F6DA7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F4FAC30" w14:textId="77777777" w:rsidTr="009262A9">
        <w:tc>
          <w:tcPr>
            <w:tcW w:w="10660" w:type="dxa"/>
            <w:gridSpan w:val="8"/>
            <w:shd w:val="clear" w:color="auto" w:fill="auto"/>
          </w:tcPr>
          <w:p w14:paraId="438C1007" w14:textId="0C5E5C82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42160CE6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09"/>
        <w:gridCol w:w="2609"/>
        <w:gridCol w:w="2612"/>
      </w:tblGrid>
      <w:tr w:rsidR="006A7DD4" w:rsidRPr="003820F0" w14:paraId="73797FAD" w14:textId="77777777" w:rsidTr="009262A9"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CC6D8D6" w14:textId="62F99C88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16 PORZĄDKU OBRAD – podjęcie uchwały w sprawie ustalenia zasad i wysokości wynagrodzenia członków Rady Nadzorczej</w:t>
            </w:r>
          </w:p>
        </w:tc>
      </w:tr>
      <w:tr w:rsidR="006A7DD4" w:rsidRPr="003820F0" w14:paraId="647DD577" w14:textId="77777777" w:rsidTr="009262A9">
        <w:trPr>
          <w:trHeight w:val="1064"/>
        </w:trPr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17240C7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CFE9AA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E80C53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C7E92CE" w14:textId="5BF9C876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ED2A8E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tcBorders>
              <w:bottom w:val="nil"/>
            </w:tcBorders>
            <w:shd w:val="clear" w:color="auto" w:fill="auto"/>
          </w:tcPr>
          <w:p w14:paraId="22A665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47F512A" w14:textId="77777777" w:rsidTr="009262A9">
        <w:trPr>
          <w:trHeight w:val="695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732AF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F4445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5F3C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5D514B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9B0D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F52E11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1B1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5518C4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E8724DA" w14:textId="77777777" w:rsidTr="009262A9">
        <w:tc>
          <w:tcPr>
            <w:tcW w:w="10660" w:type="dxa"/>
            <w:gridSpan w:val="4"/>
            <w:shd w:val="clear" w:color="auto" w:fill="auto"/>
          </w:tcPr>
          <w:p w14:paraId="7FC7C96C" w14:textId="1CF70A7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115A8B4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7B14C2B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1EDB3BFE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5B99355F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bookmarkStart w:id="1" w:name="_Hlk69924263"/>
      <w:r w:rsidRPr="003820F0">
        <w:rPr>
          <w:rFonts w:ascii="Nunito Sans Light" w:hAnsi="Nunito Sans Light" w:cs="Calibri"/>
          <w:sz w:val="20"/>
          <w:szCs w:val="20"/>
        </w:rPr>
        <w:t xml:space="preserve">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 przyjmuje następujący porządek obrad:</w:t>
      </w:r>
    </w:p>
    <w:bookmarkEnd w:id="1"/>
    <w:p w14:paraId="1FA15CE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otwarcie Zwyczajnego Walnego Zgromadzenia; </w:t>
      </w:r>
    </w:p>
    <w:p w14:paraId="0C759FC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wybór Przewodniczącego Zwyczajnego Walnego Zgromadzenia; </w:t>
      </w:r>
    </w:p>
    <w:p w14:paraId="17803073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2BCF6F5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przyjęcie porządku obrad;</w:t>
      </w:r>
    </w:p>
    <w:p w14:paraId="4FF0167B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 (ii)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a także (iii) wniosku Zarządu co do sposobu pokrycia straty netto Spółki za rok obrotowy 2023; </w:t>
      </w:r>
    </w:p>
    <w:p w14:paraId="489B4267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lastRenderedPageBreak/>
        <w:t xml:space="preserve">przedstawienie i rozpatrzenie Sprawozdania Rady Nadzorczej za rok obrotowy 2023 r. obejmującego: (i) 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netto Spółki za rok 2023, a także (ii) sprawozdanie z działalności Rady Nadzorczej Spółki w roku 2023 wraz z oceną sytuacji Spółki, z 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74F3B78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przedstawienie rekomendacji Rady Nadzorczej co do udzielenia członkom Zarządu Spółki absolutorium za rok obrotowy 2023;</w:t>
      </w:r>
    </w:p>
    <w:p w14:paraId="05A91A1A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 </w:t>
      </w:r>
    </w:p>
    <w:p w14:paraId="435B1111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</w:t>
      </w:r>
    </w:p>
    <w:p w14:paraId="17AA86CE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pokrycia straty netto Spółki za rok obrotowy 2023; </w:t>
      </w:r>
    </w:p>
    <w:p w14:paraId="0402473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 w sprawie udzielenia absolutorium członkom Zarządu Spółki z wykonania przez nich obowiązków w roku 2023; </w:t>
      </w:r>
    </w:p>
    <w:p w14:paraId="667282D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 w sprawie udzielenia absolutorium członkom Rady Nadzorczej Spółki z wykonania przez nich obowiązków w roku 2023;</w:t>
      </w:r>
    </w:p>
    <w:p w14:paraId="521229A0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Rady Nadzorczej Spółki za rok obrotowy 2023; </w:t>
      </w:r>
    </w:p>
    <w:p w14:paraId="1DD3CFD2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uchwały w sprawie ustalenia liczby członków Rady Nadzorczej;</w:t>
      </w:r>
    </w:p>
    <w:p w14:paraId="61D865F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podjęcie uchwał w sprawie powołania członków Rady Nadzorczej na nową kadencję;</w:t>
      </w:r>
    </w:p>
    <w:p w14:paraId="45CC4A7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</w:rPr>
        <w:t>podjęcie uchwały w sprawie ustalenia zasad i wysokości wynagrodzenia członków Rady Nadzorczej;</w:t>
      </w:r>
    </w:p>
    <w:p w14:paraId="49515E4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wolne wnioski; </w:t>
      </w:r>
    </w:p>
    <w:p w14:paraId="519A48E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580DEA48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7C3B5022" w14:textId="15B9F70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A7E270F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24AD23E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147D46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</w:t>
      </w:r>
      <w:bookmarkStart w:id="2" w:name="_Hlk72679738"/>
      <w:r w:rsidRPr="003820F0">
        <w:rPr>
          <w:rFonts w:ascii="Nunito Sans Light" w:hAnsi="Nunito Sans Light"/>
          <w:sz w:val="20"/>
          <w:szCs w:val="20"/>
        </w:rPr>
        <w:t xml:space="preserve">art. 393 pkt 1 oraz </w:t>
      </w:r>
      <w:bookmarkEnd w:id="2"/>
      <w:r w:rsidRPr="003820F0">
        <w:rPr>
          <w:rFonts w:ascii="Nunito Sans Light" w:hAnsi="Nunito Sans Light"/>
          <w:sz w:val="20"/>
          <w:szCs w:val="20"/>
        </w:rPr>
        <w:t xml:space="preserve">art. 395 </w:t>
      </w:r>
      <w:r w:rsidRPr="003820F0">
        <w:rPr>
          <w:rFonts w:ascii="Nunito Sans Light" w:hAnsi="Nunito Sans Light"/>
          <w:sz w:val="20"/>
          <w:szCs w:val="20"/>
        </w:rPr>
        <w:sym w:font="Times New Roman" w:char="00A7"/>
      </w:r>
      <w:r w:rsidRPr="003820F0">
        <w:rPr>
          <w:rFonts w:ascii="Nunito Sans Light" w:hAnsi="Nunito Sans Light"/>
          <w:sz w:val="20"/>
          <w:szCs w:val="20"/>
        </w:rPr>
        <w:t xml:space="preserve">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Zarządu z działalności Spółki w roku 2023 oraz po zapoznaniu się z wynikami jego oceny przeprowadzonej przez Radę Nadzorczą,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bCs/>
          <w:sz w:val="20"/>
          <w:szCs w:val="20"/>
        </w:rPr>
        <w:t xml:space="preserve"> S.A.</w:t>
      </w:r>
      <w:r w:rsidRPr="003820F0">
        <w:rPr>
          <w:rFonts w:ascii="Nunito Sans Light" w:hAnsi="Nunito Sans Light"/>
          <w:sz w:val="20"/>
          <w:szCs w:val="20"/>
        </w:rPr>
        <w:t xml:space="preserve"> w 2023 roku.</w:t>
      </w:r>
    </w:p>
    <w:p w14:paraId="5BAD1C3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B20097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A59DEF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9-GO PORZĄDKU OBRAD</w:t>
      </w:r>
    </w:p>
    <w:p w14:paraId="28C5CEB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AD05889" w14:textId="0726E15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15E156FD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00D2EBE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6AF9A3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finansowego Spółki za rok 2023 oraz po zapoznaniu się z wynikami jego oceny przeprowadzonej przez Radę Nadzorczą,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finansowe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obrotowy 2023, w skład którego wchodzą:</w:t>
      </w:r>
    </w:p>
    <w:p w14:paraId="09BAE48E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wprowadzenie do sprawozdania finansowego, </w:t>
      </w:r>
    </w:p>
    <w:p w14:paraId="61DED49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bookmarkStart w:id="3" w:name="_Hlk165884923"/>
      <w:r w:rsidRPr="003820F0">
        <w:rPr>
          <w:rFonts w:ascii="Nunito Sans Light" w:hAnsi="Nunito Sans Light"/>
          <w:sz w:val="20"/>
          <w:szCs w:val="20"/>
        </w:rPr>
        <w:t>bilans sporządzony na dzień 31 grudnia 2023 r., który po stronie aktywów i pasywów wykazuje sumę bilansową 15.502.340,47 zł (słownie: piętnaście milionów pięćset dwa tysiące trzysta czterdzieści złotych 47/100),</w:t>
      </w:r>
    </w:p>
    <w:p w14:paraId="3C8F20EA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zysków i strat za okres od 1 stycznia 2023 r. do 31 grudnia 2023 r. wykazujący stratę netto w wysokości 3.719.150,89 zł (słownie: trzy miliony siedemset dziewiętnaście tysięcy sto pięćdziesiąt złotych 89/100),</w:t>
      </w:r>
    </w:p>
    <w:p w14:paraId="59EE8C58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zestawienie zmian w kapitale własnym za okres od 1 stycznia 2023 r. do 31 grudnia 2023 r. wykazujące zmniejszenie kapitału własnego o kwotę 3.717.550,89 zł (słownie: trzy miliony siedemset siedemnaście tysięcy pięćset pięćdziesiąt złotych 89/100),</w:t>
      </w:r>
    </w:p>
    <w:p w14:paraId="2F8AF5E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przepływów pieniężnych wykazujący zmniejszenie stanu środków pieniężnych netto w okresie od 1 stycznia 2023 r. do 31 grudnia 2023 r. o kwotę 4.166.351,66 zł (słownie: cztery miliony sto sześćdziesiąt sześć tysięcy trzysta pięćdziesiąt jeden złotych 66/100),</w:t>
      </w:r>
    </w:p>
    <w:bookmarkEnd w:id="3"/>
    <w:p w14:paraId="01090C12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dodatkowe informacje i objaśnienia. </w:t>
      </w:r>
    </w:p>
    <w:p w14:paraId="5320BDE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A21CC3E" w14:textId="77777777" w:rsidR="006A7DD4" w:rsidRPr="009262A9" w:rsidRDefault="006A7DD4" w:rsidP="006A7DD4">
      <w:pPr>
        <w:pStyle w:val="Tekstpodstawowy"/>
        <w:spacing w:after="120"/>
        <w:jc w:val="left"/>
        <w:rPr>
          <w:rFonts w:ascii="Nunito Sans Light" w:hAnsi="Nunito Sans Light" w:cs="Calibri"/>
          <w:b w:val="0"/>
          <w:bCs/>
          <w:sz w:val="20"/>
        </w:rPr>
      </w:pPr>
      <w:r w:rsidRPr="009262A9">
        <w:rPr>
          <w:rFonts w:ascii="Nunito Sans Light" w:hAnsi="Nunito Sans Light" w:cs="Calibri"/>
          <w:b w:val="0"/>
          <w:bCs/>
          <w:sz w:val="20"/>
        </w:rPr>
        <w:t>Uchwała wchodzi w życie z dniem podjęcia.</w:t>
      </w:r>
    </w:p>
    <w:p w14:paraId="7302B6B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29541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44F85D40" w14:textId="407DC754" w:rsidR="006A7DD4" w:rsidRPr="009262A9" w:rsidRDefault="006A7DD4" w:rsidP="009262A9">
      <w:pPr>
        <w:pStyle w:val="Lista"/>
        <w:spacing w:line="240" w:lineRule="auto"/>
        <w:jc w:val="center"/>
        <w:rPr>
          <w:rFonts w:ascii="Nunito Sans Light" w:hAnsi="Nunito Sans Light" w:cs="Calibri"/>
          <w:b/>
          <w:bCs/>
          <w:color w:val="000000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color w:val="000000"/>
          <w:sz w:val="20"/>
          <w:szCs w:val="20"/>
        </w:rPr>
        <w:t>Uchwała Nr [__]</w:t>
      </w:r>
    </w:p>
    <w:p w14:paraId="350E38E6" w14:textId="0B92FCE5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color w:val="000000"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color w:val="000000"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7DA9A56B" w14:textId="20FC9EC2" w:rsidR="006A7DD4" w:rsidRPr="003820F0" w:rsidRDefault="006A7DD4" w:rsidP="009262A9">
      <w:pPr>
        <w:spacing w:after="120"/>
        <w:jc w:val="center"/>
        <w:rPr>
          <w:rFonts w:ascii="Nunito Sans Light" w:hAnsi="Nunito Sans Light"/>
          <w:color w:val="000000"/>
          <w:sz w:val="20"/>
          <w:szCs w:val="20"/>
        </w:rPr>
      </w:pPr>
      <w:r w:rsidRPr="009262A9">
        <w:rPr>
          <w:rFonts w:ascii="Nunito Sans Light" w:hAnsi="Nunito Sans Light"/>
          <w:b/>
          <w:bCs/>
          <w:color w:val="000000"/>
          <w:sz w:val="20"/>
          <w:szCs w:val="20"/>
        </w:rPr>
        <w:t>w sprawie</w:t>
      </w:r>
      <w:r w:rsidRPr="003820F0">
        <w:rPr>
          <w:rFonts w:ascii="Nunito Sans Light" w:hAnsi="Nunito Sans Light"/>
          <w:color w:val="000000"/>
          <w:sz w:val="20"/>
          <w:szCs w:val="20"/>
        </w:rPr>
        <w:t>:</w:t>
      </w:r>
      <w:r w:rsidRPr="003820F0">
        <w:rPr>
          <w:rFonts w:ascii="Nunito Sans Light" w:hAnsi="Nunito Sans Light"/>
          <w:color w:val="000000"/>
          <w:sz w:val="20"/>
          <w:szCs w:val="20"/>
        </w:rPr>
        <w:tab/>
        <w:t>pokrycia straty netto Spółki za rok obrotowy 2023</w:t>
      </w:r>
    </w:p>
    <w:p w14:paraId="703C0037" w14:textId="77777777" w:rsidR="006A7DD4" w:rsidRPr="003820F0" w:rsidRDefault="006A7DD4" w:rsidP="006A7DD4">
      <w:pPr>
        <w:spacing w:after="120"/>
        <w:contextualSpacing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§1.</w:t>
      </w:r>
    </w:p>
    <w:p w14:paraId="48E1320B" w14:textId="77777777" w:rsidR="006A7DD4" w:rsidRPr="003820F0" w:rsidRDefault="006A7DD4" w:rsidP="006A7DD4">
      <w:pPr>
        <w:pStyle w:val="Default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Działając na podstawie art. 395 </w:t>
      </w:r>
      <w:r w:rsidRPr="003820F0">
        <w:rPr>
          <w:rFonts w:ascii="Nunito Sans Light" w:hAnsi="Nunito Sans Light" w:cs="Calibri"/>
          <w:sz w:val="20"/>
          <w:szCs w:val="20"/>
        </w:rPr>
        <w:sym w:font="Times New Roman" w:char="00A7"/>
      </w:r>
      <w:r w:rsidRPr="003820F0">
        <w:rPr>
          <w:rFonts w:ascii="Nunito Sans Light" w:hAnsi="Nunito Sans Light" w:cs="Calibri"/>
          <w:sz w:val="20"/>
          <w:szCs w:val="20"/>
        </w:rPr>
        <w:t xml:space="preserve"> 2 pkt 2 </w:t>
      </w:r>
      <w:r w:rsidRPr="003820F0">
        <w:rPr>
          <w:rFonts w:ascii="Nunito Sans Light" w:hAnsi="Nunito Sans Light" w:cs="Calibri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 w:cs="Calibri"/>
          <w:sz w:val="20"/>
          <w:szCs w:val="20"/>
        </w:rPr>
        <w:t xml:space="preserve">, po zapoznaniu się z wnioskiem Zarządu Spółki oraz wynikami jego oceny przeprowadzonej przez Radę Nadzorczą, 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S.A., postanawia pokryć stratę</w:t>
      </w:r>
      <w:r w:rsidRPr="003820F0" w:rsidDel="00BF506C">
        <w:rPr>
          <w:rFonts w:ascii="Nunito Sans Light" w:hAnsi="Nunito Sans Light" w:cs="Calibri"/>
          <w:sz w:val="20"/>
          <w:szCs w:val="20"/>
        </w:rPr>
        <w:t xml:space="preserve"> </w:t>
      </w:r>
      <w:r w:rsidRPr="003820F0">
        <w:rPr>
          <w:rFonts w:ascii="Nunito Sans Light" w:hAnsi="Nunito Sans Light" w:cs="Calibri"/>
          <w:sz w:val="20"/>
          <w:szCs w:val="20"/>
        </w:rPr>
        <w:t>netto za rok obrotowy 2023 w wysokości</w:t>
      </w:r>
      <w:r w:rsidRPr="003820F0">
        <w:rPr>
          <w:rFonts w:ascii="Nunito Sans Light" w:hAnsi="Nunito Sans Light" w:cs="Calibri"/>
          <w:b/>
          <w:bCs/>
          <w:sz w:val="20"/>
          <w:szCs w:val="20"/>
        </w:rPr>
        <w:t>: 3.719.150,89 zł</w:t>
      </w:r>
      <w:r w:rsidRPr="003820F0">
        <w:rPr>
          <w:rFonts w:ascii="Nunito Sans Light" w:hAnsi="Nunito Sans Light" w:cs="Calibri"/>
          <w:sz w:val="20"/>
          <w:szCs w:val="20"/>
        </w:rPr>
        <w:t xml:space="preserve"> (słownie: trzy miliony siedemset dziewiętnaście tysięcy sto pięćdziesiąt złotych 89/100) z kapitału zapasowego Spółki.</w:t>
      </w:r>
    </w:p>
    <w:p w14:paraId="0249B7C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§2.</w:t>
      </w:r>
    </w:p>
    <w:p w14:paraId="611BF05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color w:val="000000"/>
          <w:sz w:val="20"/>
          <w:szCs w:val="20"/>
        </w:rPr>
      </w:pPr>
      <w:r w:rsidRPr="003820F0">
        <w:rPr>
          <w:rFonts w:ascii="Nunito Sans Light" w:hAnsi="Nunito Sans Light"/>
          <w:color w:val="000000"/>
          <w:sz w:val="20"/>
          <w:szCs w:val="20"/>
        </w:rPr>
        <w:t>Uchwała wchodzi w życie z chwilą jej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11-GO PORZĄDKU OBRAD</w:t>
      </w:r>
    </w:p>
    <w:p w14:paraId="3278F128" w14:textId="77777777" w:rsidR="006A7DD4" w:rsidRPr="003820F0" w:rsidRDefault="006A7DD4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3256B0" w14:textId="23A199CC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345204" w14:textId="77777777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Pr="002F4F1F">
        <w:rPr>
          <w:rFonts w:ascii="Nunito Sans Light" w:hAnsi="Nunito Sans Light"/>
          <w:b/>
          <w:bCs/>
          <w:sz w:val="20"/>
          <w:szCs w:val="20"/>
        </w:rPr>
        <w:tab/>
      </w:r>
      <w:r w:rsidRPr="003820F0">
        <w:rPr>
          <w:rFonts w:ascii="Nunito Sans Light" w:hAnsi="Nunito Sans Light"/>
          <w:sz w:val="20"/>
          <w:szCs w:val="20"/>
        </w:rPr>
        <w:t>udzielenia absolutorium Prezesowi Zarządu Spółki</w:t>
      </w:r>
    </w:p>
    <w:p w14:paraId="093B202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C4D15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Panu Michałowi Kaszubie (Kaszuba)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</w:t>
      </w:r>
      <w:r w:rsidRPr="003820F0">
        <w:rPr>
          <w:rFonts w:ascii="Nunito Sans Light" w:hAnsi="Nunito Sans Light"/>
          <w:sz w:val="20"/>
          <w:szCs w:val="20"/>
        </w:rPr>
        <w:t xml:space="preserve">Prezesa Zarządu </w:t>
      </w:r>
      <w:r w:rsidRPr="003820F0">
        <w:rPr>
          <w:rFonts w:ascii="Nunito Sans Light" w:hAnsi="Nunito Sans Light"/>
          <w:snapToGrid w:val="0"/>
          <w:sz w:val="20"/>
          <w:szCs w:val="20"/>
        </w:rPr>
        <w:t>Spółki w roku obrotowym 2023.</w:t>
      </w:r>
    </w:p>
    <w:p w14:paraId="7447497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DD98915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454FC9A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B6B8B3F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3DD8F7CF" w14:textId="57C9A78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47A7917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285920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Agacie Kozioł - Jaworskiej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Operacyjnych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5940B93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30D56AF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8BA3C5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169FD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8DC3A9" w14:textId="31FF153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1197DE0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A2D456E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Jolancie Kołodziejczyk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Rozwoju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05CD37C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CE0695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836D97F" w14:textId="21DE6AA0" w:rsidR="002F4F1F" w:rsidRDefault="002F4F1F">
      <w:pPr>
        <w:rPr>
          <w:rFonts w:ascii="Nunito Sans Light" w:hAnsi="Nunito Sans Light"/>
        </w:rPr>
      </w:pPr>
      <w:r>
        <w:rPr>
          <w:rFonts w:ascii="Nunito Sans Light" w:hAnsi="Nunito Sans Light"/>
        </w:rPr>
        <w:br w:type="page"/>
      </w:r>
    </w:p>
    <w:p w14:paraId="36F16355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PROJEKTY UCHWAŁ DO PUNKTU 12-GO PORZĄDKU OBRAD</w:t>
      </w:r>
    </w:p>
    <w:p w14:paraId="2D1B31EE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7573CB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2138B410" w14:textId="38C04C36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17609ABD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01CFE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Januszowi Kraśniakowi</w:t>
      </w:r>
      <w:r w:rsidRPr="003820F0">
        <w:rPr>
          <w:rFonts w:ascii="Nunito Sans Light" w:hAnsi="Nunito Sans Light"/>
          <w:sz w:val="20"/>
          <w:szCs w:val="20"/>
        </w:rPr>
        <w:t xml:space="preserve">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absolutorium z wykonania obowiązków Przewodniczącego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okresie pełnienia tej funkcji w 2023 roku.</w:t>
      </w:r>
    </w:p>
    <w:p w14:paraId="23651D0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9169DE1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5E2D25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9AC4F17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AC6718C" w14:textId="5262E605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9FEC04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4D235B6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Tomaszowi Banasiewiczowi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60756E2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410C1AA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FD9D9DF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388037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09D54CA" w14:textId="33F91889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2ECA894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B02002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Mariuszowi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Koitce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 (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Koitka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) 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06CBB6F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5036C9B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11EA7B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894603C" w14:textId="0C6AAA3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F3C946C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407F782" w14:textId="1216B6A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0AF28D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6ABFA30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</w:t>
      </w:r>
      <w:bookmarkStart w:id="4" w:name="_Hlk9249284"/>
      <w:r w:rsidRPr="003820F0">
        <w:rPr>
          <w:rFonts w:ascii="Nunito Sans Light" w:hAnsi="Nunito Sans Light"/>
          <w:b/>
          <w:sz w:val="20"/>
          <w:szCs w:val="20"/>
        </w:rPr>
        <w:t xml:space="preserve">Andrzejowi Wodeckiemu </w:t>
      </w:r>
      <w:bookmarkEnd w:id="4"/>
      <w:r w:rsidRPr="003820F0">
        <w:rPr>
          <w:rFonts w:ascii="Nunito Sans Light" w:hAnsi="Nunito Sans Light"/>
          <w:bCs/>
          <w:sz w:val="20"/>
          <w:szCs w:val="20"/>
        </w:rPr>
        <w:t>absolutorium z wykonania obowiązków członka Rady Nadzorczej Spółki w 2023 roku.</w:t>
      </w:r>
    </w:p>
    <w:p w14:paraId="54DEA10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BD4870B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778D4F4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5" w:name="_Hlk511129669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8E7E7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924010" w14:textId="52957AC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3DB06BD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4271D7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Piotrowi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Ciżkowiczowi</w:t>
      </w:r>
      <w:proofErr w:type="spellEnd"/>
      <w:r w:rsidRPr="003820F0">
        <w:rPr>
          <w:rFonts w:ascii="Nunito Sans Light" w:hAnsi="Nunito Sans Light"/>
        </w:rPr>
        <w:t xml:space="preserve">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5BA2DED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24C7C5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62542A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E7AFBED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1C5FBC" w14:textId="5F1F8538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BB2B83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25122F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Jakubowi Swadźbie</w:t>
      </w:r>
      <w:r w:rsidRPr="003820F0">
        <w:rPr>
          <w:rFonts w:ascii="Nunito Sans Light" w:hAnsi="Nunito Sans Light"/>
          <w:sz w:val="20"/>
          <w:szCs w:val="20"/>
        </w:rPr>
        <w:t xml:space="preserve"> (</w:t>
      </w:r>
      <w:r w:rsidRPr="003820F0">
        <w:rPr>
          <w:rFonts w:ascii="Nunito Sans Light" w:hAnsi="Nunito Sans Light"/>
          <w:b/>
          <w:bCs/>
          <w:sz w:val="20"/>
          <w:szCs w:val="20"/>
        </w:rPr>
        <w:t>Swadźba</w:t>
      </w:r>
      <w:r w:rsidRPr="003820F0">
        <w:rPr>
          <w:rFonts w:ascii="Nunito Sans Light" w:hAnsi="Nunito Sans Light"/>
          <w:sz w:val="20"/>
          <w:szCs w:val="20"/>
        </w:rPr>
        <w:t xml:space="preserve">)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DB73E8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9E701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  <w:bookmarkEnd w:id="5"/>
    </w:p>
    <w:p w14:paraId="0D13F01C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661447A0" w14:textId="1927206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30CC3D4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43D27C1A" w14:textId="0BC17BC7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7CEFCC5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167EBF62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Dariuszowi Zowczakowi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780D8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45049ED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D4F6B7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DA6C47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13-GO PORZĄDKU OBRAD</w:t>
      </w:r>
    </w:p>
    <w:p w14:paraId="38B9713D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6" w:name="_Hlk132733664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D3A0E1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6065026B" w14:textId="773AAB5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zatwierdzenia Sprawozdania Rady Nadzorczej Spółki za rok obrotowy 2023</w:t>
      </w:r>
    </w:p>
    <w:p w14:paraId="1E1A9E7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E3CE0D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Po rozpatrzeniu </w:t>
      </w:r>
      <w:bookmarkStart w:id="7" w:name="_Hlk101971016"/>
      <w:r w:rsidRPr="003820F0">
        <w:rPr>
          <w:rFonts w:ascii="Nunito Sans Light" w:hAnsi="Nunito Sans Light"/>
          <w:sz w:val="20"/>
          <w:szCs w:val="20"/>
        </w:rPr>
        <w:t xml:space="preserve">Sprawozdania Rady Nadzorczej Spółki za rok obrotowy 2023, obejmującego: </w:t>
      </w:r>
    </w:p>
    <w:bookmarkEnd w:id="7"/>
    <w:p w14:paraId="00897943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Spółki za rok 2023,  </w:t>
      </w:r>
    </w:p>
    <w:p w14:paraId="34FDAFD2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działalności Rady Nadzorczej Spółki w roku 2023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34ED2C7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roczne Sprawozdanie Rady Nadzorczej za rok 2023.</w:t>
      </w:r>
    </w:p>
    <w:p w14:paraId="3EE4B5B9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71C50C8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Uchwała wchodzi w życie z dniem podjęcia. </w:t>
      </w:r>
    </w:p>
    <w:bookmarkEnd w:id="6"/>
    <w:p w14:paraId="4453E9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6238E764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14-GO PORZĄDKU OBRAD</w:t>
      </w:r>
    </w:p>
    <w:p w14:paraId="2C5482C0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128DD6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417CB72" w14:textId="57C2E0E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 xml:space="preserve">ustalenia liczby członków Rady Nadzorczej  </w:t>
      </w:r>
    </w:p>
    <w:p w14:paraId="6FE48AE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§1</w:t>
      </w:r>
    </w:p>
    <w:p w14:paraId="2DB1025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§9 ust.1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pięcioosobowy skład Rady Nadzorczej Spółki.</w:t>
      </w:r>
    </w:p>
    <w:p w14:paraId="7AB31E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§2.</w:t>
      </w:r>
    </w:p>
    <w:p w14:paraId="44AC4AE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F4A077C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 DO PUNKTU 15-GO PORZĄDKU OBRAD</w:t>
      </w:r>
    </w:p>
    <w:p w14:paraId="0F694469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5472306F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E17CACC" w14:textId="3BB8E652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 xml:space="preserve">  powołania członka Rady Nadzorczej na nową kadencję </w:t>
      </w:r>
    </w:p>
    <w:p w14:paraId="41CB99C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3AD80EF6" w14:textId="1F1A8BD6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385 §1 Kodeksu spółek handlowych oraz § 9 ust 2. i ust. 3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powołuje </w:t>
      </w:r>
      <w:r w:rsidRPr="003820F0">
        <w:rPr>
          <w:rFonts w:ascii="Nunito Sans Light" w:hAnsi="Nunito Sans Light"/>
          <w:b/>
          <w:bCs/>
          <w:sz w:val="20"/>
          <w:szCs w:val="20"/>
        </w:rPr>
        <w:t>Pana/Panią …</w:t>
      </w:r>
      <w:r w:rsidR="009F778E">
        <w:rPr>
          <w:rFonts w:ascii="Nunito Sans Light" w:hAnsi="Nunito Sans Light"/>
          <w:b/>
          <w:bCs/>
          <w:sz w:val="20"/>
          <w:szCs w:val="20"/>
        </w:rPr>
        <w:t>……………………………</w:t>
      </w:r>
      <w:r w:rsidRPr="003820F0">
        <w:rPr>
          <w:rFonts w:ascii="Nunito Sans Light" w:hAnsi="Nunito Sans Light"/>
          <w:b/>
          <w:bCs/>
          <w:sz w:val="20"/>
          <w:szCs w:val="20"/>
        </w:rPr>
        <w:t xml:space="preserve">……………. </w:t>
      </w:r>
      <w:r w:rsidRPr="003820F0">
        <w:rPr>
          <w:rFonts w:ascii="Nunito Sans Light" w:hAnsi="Nunito Sans Light"/>
          <w:sz w:val="20"/>
          <w:szCs w:val="20"/>
        </w:rPr>
        <w:t xml:space="preserve">do Rady Nadzorczej Spółki na okres kolejnej pięcioletniej wspólnej kadencji. </w:t>
      </w:r>
    </w:p>
    <w:p w14:paraId="0DC2C3C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3DD0C3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22AAE43" w14:textId="77777777" w:rsidR="006A7DD4" w:rsidRPr="003820F0" w:rsidRDefault="006A7DD4" w:rsidP="006A7DD4">
      <w:pPr>
        <w:rPr>
          <w:rFonts w:ascii="Nunito Sans Light" w:hAnsi="Nunito Sans Light"/>
          <w:sz w:val="22"/>
          <w:szCs w:val="22"/>
        </w:rPr>
      </w:pPr>
    </w:p>
    <w:p w14:paraId="4A6C2C16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16-GO PORZĄDKU OBRAD</w:t>
      </w:r>
    </w:p>
    <w:bookmarkEnd w:id="0"/>
    <w:p w14:paraId="4D0EE3A1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3F8615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CD14601" w14:textId="692C1F8A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>
        <w:rPr>
          <w:rFonts w:ascii="Nunito Sans Light" w:hAnsi="Nunito Sans Light"/>
          <w:b/>
          <w:bCs/>
          <w:sz w:val="20"/>
          <w:szCs w:val="20"/>
        </w:rPr>
        <w:t xml:space="preserve"> </w:t>
      </w:r>
      <w:r w:rsidR="006A7DD4" w:rsidRPr="003820F0">
        <w:rPr>
          <w:rFonts w:ascii="Nunito Sans Light" w:hAnsi="Nunito Sans Light"/>
          <w:sz w:val="20"/>
          <w:szCs w:val="20"/>
        </w:rPr>
        <w:t xml:space="preserve">ustalenia zasad i wysokości wynagrodzenia członków Rady Nadzorczej </w:t>
      </w:r>
    </w:p>
    <w:p w14:paraId="778695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01288A55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392 §1 Kodeksu spółek handlowych oraz § 9 ust. 18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wynagrodzenie członków Rady Nadzorczej Spółki w następującej wysokości:</w:t>
      </w:r>
    </w:p>
    <w:p w14:paraId="0B4F7DD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</w:p>
    <w:p w14:paraId="039AE22C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Przewodniczący Rady Nadzorczej w wysokości 1.800 zł brutto,</w:t>
      </w:r>
    </w:p>
    <w:p w14:paraId="67E35AC8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Członek Rady Nadzorczej w wysokości 1.500 zł brutto,</w:t>
      </w:r>
    </w:p>
    <w:p w14:paraId="181E93F9" w14:textId="77777777" w:rsidR="006A7DD4" w:rsidRPr="003820F0" w:rsidRDefault="006A7DD4" w:rsidP="006A7DD4">
      <w:pPr>
        <w:spacing w:after="120"/>
        <w:ind w:left="36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1728521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0E18703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49F6674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W imieniu mocodawcy: </w:t>
      </w:r>
    </w:p>
    <w:p w14:paraId="722A1920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5412C82D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0"/>
        <w:gridCol w:w="5230"/>
      </w:tblGrid>
      <w:tr w:rsidR="006A7DD4" w:rsidRPr="003820F0" w14:paraId="0183F608" w14:textId="77777777" w:rsidTr="00A51577">
        <w:tc>
          <w:tcPr>
            <w:tcW w:w="5364" w:type="dxa"/>
            <w:vAlign w:val="center"/>
          </w:tcPr>
          <w:p w14:paraId="6F964162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7257410A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3820F0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186700F7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29CBF99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3820F0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3820F0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126F2F72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E7BDA3E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364" w:type="dxa"/>
            <w:vAlign w:val="center"/>
          </w:tcPr>
          <w:p w14:paraId="00704E59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6F7A6D4B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3820F0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46BFC298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5991942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3820F0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3820F0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1D6AE33A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289BF147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Data: ……………………………………………………</w:t>
            </w:r>
          </w:p>
        </w:tc>
      </w:tr>
    </w:tbl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C520" w14:textId="77777777" w:rsidR="00DF733F" w:rsidRDefault="00DF733F">
      <w:r>
        <w:separator/>
      </w:r>
    </w:p>
  </w:endnote>
  <w:endnote w:type="continuationSeparator" w:id="0">
    <w:p w14:paraId="1ACA292D" w14:textId="77777777" w:rsidR="00DF733F" w:rsidRDefault="00D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5680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27EA" w14:textId="77777777" w:rsidR="00DF733F" w:rsidRDefault="00DF733F">
      <w:r>
        <w:separator/>
      </w:r>
    </w:p>
  </w:footnote>
  <w:footnote w:type="continuationSeparator" w:id="0">
    <w:p w14:paraId="6BE733CF" w14:textId="77777777" w:rsidR="00DF733F" w:rsidRDefault="00DF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22D1" w14:textId="6F04F3B6" w:rsidR="00DA6C6F" w:rsidRDefault="002E4682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6704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76878"/>
    <w:rsid w:val="000E151B"/>
    <w:rsid w:val="00260093"/>
    <w:rsid w:val="002E4682"/>
    <w:rsid w:val="002F4F1F"/>
    <w:rsid w:val="00312A99"/>
    <w:rsid w:val="00361272"/>
    <w:rsid w:val="00487E6B"/>
    <w:rsid w:val="00671A75"/>
    <w:rsid w:val="006A7DD4"/>
    <w:rsid w:val="006E206A"/>
    <w:rsid w:val="009262A9"/>
    <w:rsid w:val="00982580"/>
    <w:rsid w:val="009D6783"/>
    <w:rsid w:val="009F778E"/>
    <w:rsid w:val="00A44311"/>
    <w:rsid w:val="00AC243C"/>
    <w:rsid w:val="00B47884"/>
    <w:rsid w:val="00C914AB"/>
    <w:rsid w:val="00D77278"/>
    <w:rsid w:val="00DA6C6F"/>
    <w:rsid w:val="00DF733F"/>
    <w:rsid w:val="00EB2140"/>
    <w:rsid w:val="00E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3605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3</cp:revision>
  <cp:lastPrinted>2024-05-20T09:48:00Z</cp:lastPrinted>
  <dcterms:created xsi:type="dcterms:W3CDTF">2024-05-20T11:23:00Z</dcterms:created>
  <dcterms:modified xsi:type="dcterms:W3CDTF">2024-05-20T11:34:00Z</dcterms:modified>
</cp:coreProperties>
</file>